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5BB" w14:textId="39D68B9E" w:rsidR="00A201A0" w:rsidRDefault="00A201A0">
      <w:bookmarkStart w:id="0" w:name="gjdgxs" w:colFirst="0" w:colLast="0"/>
      <w:bookmarkEnd w:id="0"/>
    </w:p>
    <w:p w14:paraId="76B6FAEC" w14:textId="64C5175C" w:rsidR="00174BE2" w:rsidRDefault="00174BE2"/>
    <w:p w14:paraId="6F618EA0" w14:textId="77777777" w:rsidR="00174BE2" w:rsidRPr="00174BE2" w:rsidRDefault="00174BE2" w:rsidP="00174BE2">
      <w:pPr>
        <w:widowControl/>
        <w:spacing w:after="100" w:afterAutospacing="1" w:line="450" w:lineRule="atLeast"/>
        <w:jc w:val="both"/>
        <w:rPr>
          <w:rFonts w:ascii="Open Sans" w:hAnsi="Open Sans" w:cs="Open Sans"/>
          <w:color w:val="706F6F"/>
          <w:sz w:val="24"/>
          <w:szCs w:val="24"/>
        </w:rPr>
      </w:pPr>
      <w:r w:rsidRPr="00174BE2">
        <w:rPr>
          <w:rFonts w:ascii="Open Sans" w:hAnsi="Open Sans" w:cs="Open Sans"/>
          <w:color w:val="706F6F"/>
          <w:sz w:val="24"/>
          <w:szCs w:val="24"/>
        </w:rPr>
        <w:t>Gyermekeink egészsége mindannyiunk fontos ügye, ezért is lett előírás minden köznevelési intézmény számára a teljes körű intézményi egészségfejlesztés (TIE), amely négy egészségfejlesztési alapfeladat rendszeres ellátását jelenti. Ennek keretén belül minden tanulóval a teljes tantestület és alkalmazotti közösség, az iskola egészségügyi szolgálat szakemberei, a szülők és az iskola környezetének bevonásával, szakmai ellenőrzés mellett az alábbi feladatok ellátását jelenti:</w:t>
      </w:r>
      <w:r w:rsidRPr="00174BE2">
        <w:rPr>
          <w:rFonts w:ascii="Open Sans" w:hAnsi="Open Sans" w:cs="Open Sans"/>
          <w:color w:val="706F6F"/>
          <w:sz w:val="24"/>
          <w:szCs w:val="24"/>
        </w:rPr>
        <w:br/>
      </w:r>
      <w:r w:rsidRPr="00174BE2">
        <w:rPr>
          <w:rFonts w:ascii="Open Sans" w:hAnsi="Open Sans" w:cs="Open Sans"/>
          <w:color w:val="706F6F"/>
          <w:sz w:val="24"/>
          <w:szCs w:val="24"/>
        </w:rPr>
        <w:br/>
        <w:t>I. Egészséges táplálkozás megvalósítása, lehetőleg a helyi termelés, helyi fogyasztás összekapcsolásával</w:t>
      </w:r>
      <w:r w:rsidRPr="00174BE2">
        <w:rPr>
          <w:rFonts w:ascii="Open Sans" w:hAnsi="Open Sans" w:cs="Open Sans"/>
          <w:color w:val="706F6F"/>
          <w:sz w:val="24"/>
          <w:szCs w:val="24"/>
        </w:rPr>
        <w:br/>
      </w:r>
      <w:r w:rsidRPr="00174BE2">
        <w:rPr>
          <w:rFonts w:ascii="Open Sans" w:hAnsi="Open Sans" w:cs="Open Sans"/>
          <w:color w:val="706F6F"/>
          <w:sz w:val="24"/>
          <w:szCs w:val="24"/>
        </w:rPr>
        <w:br/>
        <w:t>II. Mindennapos testnevelés minden tanulónak az egészségfejlesztési kritériumok teljesítésével</w:t>
      </w:r>
      <w:r w:rsidRPr="00174BE2">
        <w:rPr>
          <w:rFonts w:ascii="Open Sans" w:hAnsi="Open Sans" w:cs="Open Sans"/>
          <w:color w:val="706F6F"/>
          <w:sz w:val="24"/>
          <w:szCs w:val="24"/>
        </w:rPr>
        <w:br/>
      </w:r>
      <w:r w:rsidRPr="00174BE2">
        <w:rPr>
          <w:rFonts w:ascii="Open Sans" w:hAnsi="Open Sans" w:cs="Open Sans"/>
          <w:color w:val="706F6F"/>
          <w:sz w:val="24"/>
          <w:szCs w:val="24"/>
        </w:rPr>
        <w:br/>
        <w:t>III. A gyermekek érett személyiséggé válásának, azaz lelki egészségének elősegítése személyközpontú pedagógiai módszerekkel és a művészetek személyiségfejlesztő hatékonyságú alkalmazásával (ének, tánc, rajz, mesemondás, népi játékok és népi rítusjátékok, kézművesség stb.</w:t>
      </w:r>
      <w:r w:rsidRPr="00174BE2">
        <w:rPr>
          <w:rFonts w:ascii="Open Sans" w:hAnsi="Open Sans" w:cs="Open Sans"/>
          <w:color w:val="706F6F"/>
          <w:sz w:val="24"/>
          <w:szCs w:val="24"/>
        </w:rPr>
        <w:br/>
      </w:r>
      <w:r w:rsidRPr="00174BE2">
        <w:rPr>
          <w:rFonts w:ascii="Open Sans" w:hAnsi="Open Sans" w:cs="Open Sans"/>
          <w:color w:val="706F6F"/>
          <w:sz w:val="24"/>
          <w:szCs w:val="24"/>
        </w:rPr>
        <w:br/>
        <w:t>IV. Egészségismeretek széles körének készség szintű elsajátításának elősegítése (baleset megelőzés, elsősegélynyújtás, személyi higiéné, a szenvedélybetegség kialakulásához vezető szerek fogyasztásának, valamint a gyermeket, tanulót veszélyeztető bántalmazásának a megelőzése.</w:t>
      </w:r>
      <w:r w:rsidRPr="00174BE2">
        <w:rPr>
          <w:rFonts w:ascii="Open Sans" w:hAnsi="Open Sans" w:cs="Open Sans"/>
          <w:color w:val="706F6F"/>
          <w:sz w:val="24"/>
          <w:szCs w:val="24"/>
        </w:rPr>
        <w:br/>
      </w:r>
      <w:r w:rsidRPr="00174BE2">
        <w:rPr>
          <w:rFonts w:ascii="Open Sans" w:hAnsi="Open Sans" w:cs="Open Sans"/>
          <w:color w:val="706F6F"/>
          <w:sz w:val="24"/>
          <w:szCs w:val="24"/>
        </w:rPr>
        <w:br/>
      </w:r>
      <w:r w:rsidRPr="00174BE2">
        <w:rPr>
          <w:rFonts w:ascii="Open Sans" w:hAnsi="Open Sans" w:cs="Open Sans"/>
          <w:color w:val="706F6F"/>
          <w:sz w:val="24"/>
          <w:szCs w:val="24"/>
        </w:rPr>
        <w:lastRenderedPageBreak/>
        <w:t>A TIE rövid összefoglalását, valamint a pedagógusok segítésére az Emberi Erőforrások Minisztériuma Egészségügyért Felelős Államtitkárság valamint az Emberi Erőforrások Minisztériuma Oktatásért Felelős Államtitkárság által elkészített TIE ajánlást az </w:t>
      </w:r>
      <w:hyperlink r:id="rId6" w:tgtFrame="_blank" w:history="1">
        <w:r w:rsidRPr="00174BE2">
          <w:rPr>
            <w:rFonts w:ascii="Open Sans" w:hAnsi="Open Sans" w:cs="Open Sans"/>
            <w:color w:val="164194"/>
            <w:sz w:val="24"/>
            <w:szCs w:val="24"/>
            <w:u w:val="single"/>
          </w:rPr>
          <w:t>ide</w:t>
        </w:r>
      </w:hyperlink>
      <w:r w:rsidRPr="00174BE2">
        <w:rPr>
          <w:rFonts w:ascii="Open Sans" w:hAnsi="Open Sans" w:cs="Open Sans"/>
          <w:color w:val="706F6F"/>
          <w:sz w:val="24"/>
          <w:szCs w:val="24"/>
        </w:rPr>
        <w:t> kattintva érhetik el. Az iskolák több projekt segítségével kapnak a TIE végzéséhez különböző módszertani segítséget.</w:t>
      </w:r>
    </w:p>
    <w:p w14:paraId="0CA97FEC" w14:textId="444FBF6A" w:rsidR="00174BE2" w:rsidRPr="00174BE2" w:rsidRDefault="00174BE2" w:rsidP="00174BE2">
      <w:pPr>
        <w:widowControl/>
        <w:rPr>
          <w:sz w:val="24"/>
          <w:szCs w:val="24"/>
        </w:rPr>
      </w:pPr>
    </w:p>
    <w:p w14:paraId="5D9D3482" w14:textId="77777777" w:rsidR="00174BE2" w:rsidRPr="00174BE2" w:rsidRDefault="00174BE2" w:rsidP="00174BE2">
      <w:pPr>
        <w:widowControl/>
        <w:spacing w:after="100" w:afterAutospacing="1" w:line="450" w:lineRule="atLeast"/>
        <w:jc w:val="both"/>
        <w:rPr>
          <w:rFonts w:ascii="Open Sans" w:hAnsi="Open Sans" w:cs="Open Sans"/>
          <w:color w:val="706F6F"/>
          <w:sz w:val="24"/>
          <w:szCs w:val="24"/>
        </w:rPr>
      </w:pPr>
      <w:r w:rsidRPr="00174BE2">
        <w:rPr>
          <w:rFonts w:ascii="Open Sans" w:hAnsi="Open Sans" w:cs="Open Sans"/>
          <w:color w:val="706F6F"/>
          <w:sz w:val="24"/>
          <w:szCs w:val="24"/>
        </w:rPr>
        <w:t>Ez figyelembe véve a 2018/2019 tanévtől kezdve hivatalosan is útjára indult a Magyarország átfogó egészségvédelmi szűrőprogramjának gyermek prevenciós programja az "Utazás az egészség birodalmába" címmel. A projekt kiemelt prioritású, amely 2030-ig formálja a gyermekek prevenciós gondolkodását, s vezeti be őket a megelőzés rejtelmeibe, több szakmai szervezet összefogásával. A program legfontosabb üzenete „csak egészséges gyermekből lehet egészséges felnőtt”. Magyarország átfogó egészségvédelmi szűrőprogramja a TIE IV. pontjának aktív megvalósítási helyszínévé válik, amely segítséget nyújt a gyermekek egészségismereteinek bővítéséhez. Ugyanakkor, élményt jelentő vonzó módszerek segítségével évente mintegy 75 000 gyermek ingyenes részvételét biztosítja.</w:t>
      </w:r>
    </w:p>
    <w:p w14:paraId="72F44CC5" w14:textId="426F1F0C" w:rsidR="00174BE2" w:rsidRPr="00174BE2" w:rsidRDefault="00174BE2" w:rsidP="00174BE2">
      <w:pPr>
        <w:widowControl/>
        <w:rPr>
          <w:sz w:val="24"/>
          <w:szCs w:val="24"/>
        </w:rPr>
      </w:pPr>
    </w:p>
    <w:p w14:paraId="213210D6" w14:textId="77777777" w:rsidR="00174BE2" w:rsidRPr="00174BE2" w:rsidRDefault="00174BE2" w:rsidP="00174BE2">
      <w:pPr>
        <w:widowControl/>
        <w:spacing w:after="100" w:afterAutospacing="1" w:line="450" w:lineRule="atLeast"/>
        <w:jc w:val="both"/>
        <w:rPr>
          <w:rFonts w:ascii="Open Sans" w:hAnsi="Open Sans" w:cs="Open Sans"/>
          <w:color w:val="706F6F"/>
          <w:sz w:val="24"/>
          <w:szCs w:val="24"/>
        </w:rPr>
      </w:pPr>
      <w:r w:rsidRPr="00174BE2">
        <w:rPr>
          <w:rFonts w:ascii="Open Sans" w:hAnsi="Open Sans" w:cs="Open Sans"/>
          <w:color w:val="706F6F"/>
          <w:sz w:val="24"/>
          <w:szCs w:val="24"/>
        </w:rPr>
        <w:t xml:space="preserve">A program keretén belül a diákok bepillantást nyerhetnek az általános iskola első osztályától az egyetemi szintig bezárólag a prevencióval kapcsolatos lehetőségek birodalmába. A kicsik és nagyok látványos anatómiai bemutatón vehetnek részt, melynek segítségével megismerhetik az emberi test felépítését és működését. Az anatómiai modelleket szakemberek irányításával megérinthetik, kézbe vehetik valamint az emberi test belsejébe is bepillantást nyerhetnek. A számos anatómiai modell mellett a virtuális technológia is izgalmas elemeket tartalmaz a gyermekek számára, hiszen Magyarországon </w:t>
      </w:r>
      <w:r w:rsidRPr="00174BE2">
        <w:rPr>
          <w:rFonts w:ascii="Open Sans" w:hAnsi="Open Sans" w:cs="Open Sans"/>
          <w:color w:val="706F6F"/>
          <w:sz w:val="24"/>
          <w:szCs w:val="24"/>
        </w:rPr>
        <w:lastRenderedPageBreak/>
        <w:t>csak itt található az az 5 méter magas virtuális 3D mini planetárium az úgynevezett Anatómiai Mozisátor, ahol 15 perces előadássorozatot tekinthetnek meg egyedi látvány és hangelemekkel színesítve a diákok.</w:t>
      </w:r>
    </w:p>
    <w:p w14:paraId="18BCB18B" w14:textId="3C06EB86" w:rsidR="00174BE2" w:rsidRPr="00174BE2" w:rsidRDefault="00174BE2" w:rsidP="00174BE2">
      <w:pPr>
        <w:widowControl/>
        <w:rPr>
          <w:sz w:val="24"/>
          <w:szCs w:val="24"/>
        </w:rPr>
      </w:pPr>
    </w:p>
    <w:p w14:paraId="19F3E622" w14:textId="77777777" w:rsidR="00174BE2" w:rsidRPr="00174BE2" w:rsidRDefault="00174BE2" w:rsidP="00174BE2">
      <w:pPr>
        <w:widowControl/>
        <w:spacing w:after="100" w:afterAutospacing="1" w:line="450" w:lineRule="atLeast"/>
        <w:jc w:val="both"/>
        <w:rPr>
          <w:rFonts w:ascii="Open Sans" w:hAnsi="Open Sans" w:cs="Open Sans"/>
          <w:color w:val="706F6F"/>
          <w:sz w:val="24"/>
          <w:szCs w:val="24"/>
        </w:rPr>
      </w:pPr>
      <w:r w:rsidRPr="00174BE2">
        <w:rPr>
          <w:rFonts w:ascii="Open Sans" w:hAnsi="Open Sans" w:cs="Open Sans"/>
          <w:color w:val="706F6F"/>
          <w:sz w:val="24"/>
          <w:szCs w:val="24"/>
        </w:rPr>
        <w:t xml:space="preserve">Az életmód </w:t>
      </w:r>
      <w:proofErr w:type="spellStart"/>
      <w:r w:rsidRPr="00174BE2">
        <w:rPr>
          <w:rFonts w:ascii="Open Sans" w:hAnsi="Open Sans" w:cs="Open Sans"/>
          <w:color w:val="706F6F"/>
          <w:sz w:val="24"/>
          <w:szCs w:val="24"/>
        </w:rPr>
        <w:t>sátrakban</w:t>
      </w:r>
      <w:proofErr w:type="spellEnd"/>
      <w:r w:rsidRPr="00174BE2">
        <w:rPr>
          <w:rFonts w:ascii="Open Sans" w:hAnsi="Open Sans" w:cs="Open Sans"/>
          <w:color w:val="706F6F"/>
          <w:sz w:val="24"/>
          <w:szCs w:val="24"/>
        </w:rPr>
        <w:t xml:space="preserve"> kihelyezett virtuális valóságszemüvegek segítségével pedig 3D technológiával megalkotott filmek mutatják be az emberi testet belülről. </w:t>
      </w:r>
      <w:proofErr w:type="spellStart"/>
      <w:r w:rsidRPr="00174BE2">
        <w:rPr>
          <w:rFonts w:ascii="Open Sans" w:hAnsi="Open Sans" w:cs="Open Sans"/>
          <w:color w:val="706F6F"/>
          <w:sz w:val="24"/>
          <w:szCs w:val="24"/>
        </w:rPr>
        <w:t>Szakaemberek</w:t>
      </w:r>
      <w:proofErr w:type="spellEnd"/>
      <w:r w:rsidRPr="00174BE2">
        <w:rPr>
          <w:rFonts w:ascii="Open Sans" w:hAnsi="Open Sans" w:cs="Open Sans"/>
          <w:color w:val="706F6F"/>
          <w:sz w:val="24"/>
          <w:szCs w:val="24"/>
        </w:rPr>
        <w:t xml:space="preserve"> segítségével </w:t>
      </w:r>
      <w:proofErr w:type="spellStart"/>
      <w:r w:rsidRPr="00174BE2">
        <w:rPr>
          <w:rFonts w:ascii="Open Sans" w:hAnsi="Open Sans" w:cs="Open Sans"/>
          <w:color w:val="706F6F"/>
          <w:sz w:val="24"/>
          <w:szCs w:val="24"/>
        </w:rPr>
        <w:t>dietetikai</w:t>
      </w:r>
      <w:proofErr w:type="spellEnd"/>
      <w:r w:rsidRPr="00174BE2">
        <w:rPr>
          <w:rFonts w:ascii="Open Sans" w:hAnsi="Open Sans" w:cs="Open Sans"/>
          <w:color w:val="706F6F"/>
          <w:sz w:val="24"/>
          <w:szCs w:val="24"/>
        </w:rPr>
        <w:t xml:space="preserve"> tanácsadás keretében megismerhetik az egészséges táplálkozással kapcsolatos lehetőségeket,. , az Országos Rendőr-főkapitányság – Baleset megelőzési Bizottsága jóvoltából pedig a rendőrség munkatársai segítségével a baleset és bűnmegelőzési ismeretekkel segítik a kicsiket és nagyokat. a védőnők segítségével pedig az újraélesztéssel, elsősegély-nyújtási ismeretekkel is találkoznak a diákok. Az Egészség fejlesztési irodák munkatársai életmód tanácsadással és mozgásismeretekkel is segítik a felnőtteket és gyermekeket egyaránt.</w:t>
      </w:r>
    </w:p>
    <w:p w14:paraId="781E065A" w14:textId="77777777" w:rsidR="00174BE2" w:rsidRDefault="00174BE2"/>
    <w:p w14:paraId="49BD803F" w14:textId="77777777" w:rsidR="00A201A0" w:rsidRDefault="00A201A0">
      <w:pPr>
        <w:widowControl/>
        <w:jc w:val="center"/>
        <w:rPr>
          <w:rFonts w:ascii="Calibri" w:eastAsia="Calibri" w:hAnsi="Calibri" w:cs="Calibri"/>
          <w:sz w:val="48"/>
          <w:szCs w:val="48"/>
        </w:rPr>
      </w:pPr>
    </w:p>
    <w:sectPr w:rsidR="00A201A0">
      <w:headerReference w:type="even" r:id="rId7"/>
      <w:headerReference w:type="default" r:id="rId8"/>
      <w:footerReference w:type="even" r:id="rId9"/>
      <w:footerReference w:type="default" r:id="rId10"/>
      <w:headerReference w:type="first" r:id="rId11"/>
      <w:footerReference w:type="first" r:id="rId12"/>
      <w:pgSz w:w="11907" w:h="16839"/>
      <w:pgMar w:top="2465" w:right="1134" w:bottom="1134" w:left="680"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B98E" w14:textId="77777777" w:rsidR="000E58FA" w:rsidRDefault="000E58FA">
      <w:r>
        <w:separator/>
      </w:r>
    </w:p>
  </w:endnote>
  <w:endnote w:type="continuationSeparator" w:id="0">
    <w:p w14:paraId="6E98DCAE" w14:textId="77777777" w:rsidR="000E58FA" w:rsidRDefault="000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Glasgow Light">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63D" w14:textId="77777777" w:rsidR="00062DD7" w:rsidRDefault="00062D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AB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1653C7DD" wp14:editId="27272EF8">
          <wp:extent cx="1975485" cy="771525"/>
          <wp:effectExtent l="0" t="0" r="0" b="0"/>
          <wp:docPr id="2" name="image3.jpg" descr="szechenyi_2020_logo_fekvo_color_gradient_CMYK"/>
          <wp:cNvGraphicFramePr/>
          <a:graphic xmlns:a="http://schemas.openxmlformats.org/drawingml/2006/main">
            <a:graphicData uri="http://schemas.openxmlformats.org/drawingml/2006/picture">
              <pic:pic xmlns:pic="http://schemas.openxmlformats.org/drawingml/2006/picture">
                <pic:nvPicPr>
                  <pic:cNvPr id="0" name="image3.jpg" descr="szechenyi_2020_logo_fekvo_color_gradient_CMYK"/>
                  <pic:cNvPicPr preferRelativeResize="0"/>
                </pic:nvPicPr>
                <pic:blipFill>
                  <a:blip r:embed="rId1"/>
                  <a:srcRect/>
                  <a:stretch>
                    <a:fillRect/>
                  </a:stretch>
                </pic:blipFill>
                <pic:spPr>
                  <a:xfrm>
                    <a:off x="0" y="0"/>
                    <a:ext cx="1975485" cy="771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767B" w14:textId="77777777" w:rsidR="00062DD7" w:rsidRDefault="00062DD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FC35" w14:textId="77777777" w:rsidR="000E58FA" w:rsidRDefault="000E58FA">
      <w:r>
        <w:separator/>
      </w:r>
    </w:p>
  </w:footnote>
  <w:footnote w:type="continuationSeparator" w:id="0">
    <w:p w14:paraId="36033D51" w14:textId="77777777" w:rsidR="000E58FA" w:rsidRDefault="000E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BF0" w14:textId="77777777" w:rsidR="00062DD7" w:rsidRDefault="00062DD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E4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68FEFB7" wp14:editId="3AEC3605">
          <wp:extent cx="2914650" cy="105441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4650" cy="1054418"/>
                  </a:xfrm>
                  <a:prstGeom prst="rect">
                    <a:avLst/>
                  </a:prstGeom>
                  <a:ln/>
                </pic:spPr>
              </pic:pic>
            </a:graphicData>
          </a:graphic>
        </wp:inline>
      </w:drawing>
    </w:r>
    <w:r>
      <w:rPr>
        <w:noProof/>
      </w:rPr>
      <w:drawing>
        <wp:anchor distT="0" distB="0" distL="0" distR="0" simplePos="0" relativeHeight="251658240" behindDoc="0" locked="0" layoutInCell="1" hidden="0" allowOverlap="1" wp14:anchorId="12E11EEF" wp14:editId="616C6461">
          <wp:simplePos x="0" y="0"/>
          <wp:positionH relativeFrom="column">
            <wp:posOffset>3381375</wp:posOffset>
          </wp:positionH>
          <wp:positionV relativeFrom="paragraph">
            <wp:posOffset>-360044</wp:posOffset>
          </wp:positionV>
          <wp:extent cx="3681730" cy="232981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681730" cy="2329815"/>
                  </a:xfrm>
                  <a:prstGeom prst="rect">
                    <a:avLst/>
                  </a:prstGeom>
                  <a:ln/>
                </pic:spPr>
              </pic:pic>
            </a:graphicData>
          </a:graphic>
        </wp:anchor>
      </w:drawing>
    </w:r>
  </w:p>
  <w:p w14:paraId="7065563E" w14:textId="77777777" w:rsidR="00A201A0" w:rsidRDefault="00A201A0">
    <w:pPr>
      <w:pBdr>
        <w:top w:val="nil"/>
        <w:left w:val="nil"/>
        <w:bottom w:val="nil"/>
        <w:right w:val="nil"/>
        <w:between w:val="nil"/>
      </w:pBdr>
      <w:tabs>
        <w:tab w:val="center" w:pos="4819"/>
        <w:tab w:val="right" w:pos="9638"/>
      </w:tabs>
      <w:rPr>
        <w:rFonts w:ascii="Glasgow Light" w:eastAsia="Glasgow Light" w:hAnsi="Glasgow Light" w:cs="Glasgow Light"/>
        <w:color w:val="000000"/>
        <w:sz w:val="28"/>
        <w:szCs w:val="28"/>
      </w:rPr>
    </w:pPr>
  </w:p>
  <w:p w14:paraId="7AAA758A" w14:textId="77777777" w:rsidR="00A201A0"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b/>
        <w:color w:val="000000"/>
        <w:sz w:val="28"/>
        <w:szCs w:val="28"/>
      </w:rPr>
      <w:t>VTT Velencei-tavi Terület- és Településfejlesztési Nonprofit Kft</w:t>
    </w:r>
    <w:r>
      <w:rPr>
        <w:rFonts w:ascii="Calibri" w:eastAsia="Calibri" w:hAnsi="Calibri" w:cs="Calibri"/>
        <w:b/>
        <w:color w:val="000000"/>
      </w:rPr>
      <w:t>.</w:t>
    </w:r>
  </w:p>
  <w:p w14:paraId="786C3A6C" w14:textId="7578FCD4" w:rsidR="00A201A0" w:rsidRDefault="00062DD7">
    <w:pPr>
      <w:rPr>
        <w:rFonts w:ascii="Calibri" w:eastAsia="Calibri" w:hAnsi="Calibri" w:cs="Calibri"/>
      </w:rPr>
    </w:pPr>
    <w:r>
      <w:rPr>
        <w:rFonts w:ascii="Arial" w:hAnsi="Arial" w:cs="Arial"/>
        <w:color w:val="222222"/>
        <w:shd w:val="clear" w:color="auto" w:fill="FFFFFF"/>
      </w:rPr>
      <w:t>2475 Kápolnásnyék, Fő utca 28.</w:t>
    </w:r>
  </w:p>
  <w:p w14:paraId="6B0A34D9" w14:textId="77777777" w:rsidR="00A201A0" w:rsidRDefault="00A201A0">
    <w:pPr>
      <w:pBdr>
        <w:top w:val="nil"/>
        <w:left w:val="nil"/>
        <w:bottom w:val="nil"/>
        <w:right w:val="nil"/>
        <w:between w:val="nil"/>
      </w:pBdr>
      <w:tabs>
        <w:tab w:val="center" w:pos="4819"/>
        <w:tab w:val="right" w:pos="9638"/>
      </w:tabs>
      <w:jc w:val="right"/>
      <w:rPr>
        <w:color w:val="000000"/>
      </w:rPr>
    </w:pPr>
  </w:p>
  <w:p w14:paraId="019A4D2A" w14:textId="77777777" w:rsidR="00A201A0" w:rsidRDefault="0000000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r>
      <w:rPr>
        <w:color w:val="000000"/>
      </w:rPr>
      <w:t xml:space="preserve"> </w:t>
    </w:r>
    <w:r>
      <w:rPr>
        <w:rFonts w:ascii="Arial" w:eastAsia="Arial" w:hAnsi="Arial" w:cs="Arial"/>
        <w:b/>
        <w:i/>
        <w:color w:val="000000"/>
        <w:sz w:val="22"/>
        <w:szCs w:val="22"/>
      </w:rPr>
      <w:t xml:space="preserve">EFOP-1.5.2-16-2017-00017    </w:t>
    </w:r>
    <w:r>
      <w:rPr>
        <w:rFonts w:ascii="Arial" w:eastAsia="Arial" w:hAnsi="Arial" w:cs="Arial"/>
        <w:i/>
        <w:color w:val="000000"/>
        <w:sz w:val="22"/>
        <w:szCs w:val="22"/>
      </w:rPr>
      <w:t xml:space="preserve"> </w:t>
    </w:r>
  </w:p>
  <w:p w14:paraId="178F0021" w14:textId="77777777" w:rsidR="00A201A0" w:rsidRDefault="00A201A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E28" w14:textId="77777777" w:rsidR="00062DD7" w:rsidRDefault="00062DD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0"/>
    <w:rsid w:val="00062DD7"/>
    <w:rsid w:val="000E58FA"/>
    <w:rsid w:val="00174BE2"/>
    <w:rsid w:val="005333CA"/>
    <w:rsid w:val="0057510D"/>
    <w:rsid w:val="00654AE0"/>
    <w:rsid w:val="00A201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9C69"/>
  <w15:docId w15:val="{53104466-4D1F-478E-869E-DC3F6AA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240" w:after="60"/>
      <w:outlineLvl w:val="0"/>
    </w:pPr>
    <w:rPr>
      <w:rFonts w:ascii="Arial" w:eastAsia="Arial" w:hAnsi="Arial" w:cs="Arial"/>
      <w:b/>
      <w:sz w:val="36"/>
      <w:szCs w:val="36"/>
    </w:rPr>
  </w:style>
  <w:style w:type="paragraph" w:styleId="Cmsor2">
    <w:name w:val="heading 2"/>
    <w:basedOn w:val="Norml"/>
    <w:next w:val="Norml"/>
    <w:uiPriority w:val="9"/>
    <w:semiHidden/>
    <w:unhideWhenUsed/>
    <w:qFormat/>
    <w:pPr>
      <w:keepNext/>
      <w:keepLines/>
      <w:spacing w:before="240" w:after="60"/>
      <w:outlineLvl w:val="1"/>
    </w:pPr>
    <w:rPr>
      <w:rFonts w:ascii="Arial" w:eastAsia="Arial" w:hAnsi="Arial" w:cs="Arial"/>
      <w:b/>
      <w:sz w:val="32"/>
      <w:szCs w:val="32"/>
    </w:rPr>
  </w:style>
  <w:style w:type="paragraph" w:styleId="Cmsor3">
    <w:name w:val="heading 3"/>
    <w:basedOn w:val="Norml"/>
    <w:next w:val="Norml"/>
    <w:uiPriority w:val="9"/>
    <w:semiHidden/>
    <w:unhideWhenUsed/>
    <w:qFormat/>
    <w:pPr>
      <w:keepNext/>
      <w:keepLines/>
      <w:spacing w:before="240" w:after="60"/>
      <w:outlineLvl w:val="2"/>
    </w:pPr>
    <w:rPr>
      <w:rFonts w:ascii="Arial" w:eastAsia="Arial" w:hAnsi="Arial" w:cs="Arial"/>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062DD7"/>
    <w:pPr>
      <w:tabs>
        <w:tab w:val="center" w:pos="4536"/>
        <w:tab w:val="right" w:pos="9072"/>
      </w:tabs>
    </w:pPr>
  </w:style>
  <w:style w:type="character" w:customStyle="1" w:styleId="lfejChar">
    <w:name w:val="Élőfej Char"/>
    <w:basedOn w:val="Bekezdsalapbettpusa"/>
    <w:link w:val="lfej"/>
    <w:uiPriority w:val="99"/>
    <w:rsid w:val="00062DD7"/>
  </w:style>
  <w:style w:type="paragraph" w:styleId="llb">
    <w:name w:val="footer"/>
    <w:basedOn w:val="Norml"/>
    <w:link w:val="llbChar"/>
    <w:uiPriority w:val="99"/>
    <w:unhideWhenUsed/>
    <w:rsid w:val="00062DD7"/>
    <w:pPr>
      <w:tabs>
        <w:tab w:val="center" w:pos="4536"/>
        <w:tab w:val="right" w:pos="9072"/>
      </w:tabs>
    </w:pPr>
  </w:style>
  <w:style w:type="character" w:customStyle="1" w:styleId="llbChar">
    <w:name w:val="Élőláb Char"/>
    <w:basedOn w:val="Bekezdsalapbettpusa"/>
    <w:link w:val="llb"/>
    <w:uiPriority w:val="99"/>
    <w:rsid w:val="00062DD7"/>
  </w:style>
  <w:style w:type="paragraph" w:styleId="NormlWeb">
    <w:name w:val="Normal (Web)"/>
    <w:basedOn w:val="Norml"/>
    <w:uiPriority w:val="99"/>
    <w:semiHidden/>
    <w:unhideWhenUsed/>
    <w:rsid w:val="00174BE2"/>
    <w:pPr>
      <w:widowControl/>
      <w:spacing w:before="100" w:beforeAutospacing="1" w:after="100" w:afterAutospacing="1"/>
    </w:pPr>
    <w:rPr>
      <w:sz w:val="24"/>
      <w:szCs w:val="24"/>
    </w:rPr>
  </w:style>
  <w:style w:type="character" w:styleId="Hiperhivatkozs">
    <w:name w:val="Hyperlink"/>
    <w:basedOn w:val="Bekezdsalapbettpusa"/>
    <w:uiPriority w:val="99"/>
    <w:semiHidden/>
    <w:unhideWhenUsed/>
    <w:rsid w:val="0017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5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eszsegprogram.eu/content/gyermek-prevencio-magyarorszagon/tie_ajanlas_160323_vegleges2.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3510</Characters>
  <Application>Microsoft Office Word</Application>
  <DocSecurity>0</DocSecurity>
  <Lines>29</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Bakos Istvan</dc:creator>
  <cp:lastModifiedBy>Bakosok@sulid.hu</cp:lastModifiedBy>
  <cp:revision>4</cp:revision>
  <dcterms:created xsi:type="dcterms:W3CDTF">2022-11-01T08:39:00Z</dcterms:created>
  <dcterms:modified xsi:type="dcterms:W3CDTF">2022-11-02T15:56:00Z</dcterms:modified>
</cp:coreProperties>
</file>