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5BB" w14:textId="5E2CA069" w:rsidR="00A201A0" w:rsidRPr="00245104" w:rsidRDefault="00A201A0">
      <w:pPr>
        <w:rPr>
          <w:rFonts w:asciiTheme="majorHAnsi" w:hAnsiTheme="majorHAnsi" w:cstheme="majorHAnsi"/>
          <w:sz w:val="24"/>
          <w:szCs w:val="24"/>
        </w:rPr>
      </w:pPr>
      <w:bookmarkStart w:id="0" w:name="gjdgxs" w:colFirst="0" w:colLast="0"/>
      <w:bookmarkEnd w:id="0"/>
    </w:p>
    <w:p w14:paraId="7112CAA9" w14:textId="6D7A0D1D" w:rsidR="00245104" w:rsidRPr="00245104" w:rsidRDefault="00245104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245104">
        <w:rPr>
          <w:rFonts w:asciiTheme="majorHAnsi" w:hAnsiTheme="majorHAnsi" w:cstheme="majorHAnsi"/>
          <w:b/>
          <w:bCs/>
          <w:i/>
          <w:iCs/>
          <w:sz w:val="24"/>
          <w:szCs w:val="24"/>
        </w:rPr>
        <w:t>ÖNKÉNTESEK FOGADÁSÁNAK LÉPÉSEI – Az önkéntesek fogadása adminisztratívan és emberileg is komoly feladat. Ehhez adunk az alábbiakban segítséget: hogyan kezdjük, mire gondoljunk, mivel tervezzünk?</w:t>
      </w:r>
    </w:p>
    <w:p w14:paraId="1AC860C9" w14:textId="415C7172" w:rsidR="00245104" w:rsidRPr="00245104" w:rsidRDefault="00245104" w:rsidP="00245104">
      <w:pPr>
        <w:pStyle w:val="NormlWeb"/>
        <w:shd w:val="clear" w:color="auto" w:fill="FFFFFF"/>
        <w:spacing w:before="0" w:after="0"/>
        <w:textAlignment w:val="baseline"/>
        <w:rPr>
          <w:rFonts w:asciiTheme="majorHAnsi" w:hAnsiTheme="majorHAnsi" w:cstheme="majorHAnsi"/>
        </w:rPr>
      </w:pPr>
      <w:r w:rsidRPr="00245104">
        <w:rPr>
          <w:rStyle w:val="Kiemels2"/>
          <w:rFonts w:asciiTheme="majorHAnsi" w:hAnsiTheme="majorHAnsi" w:cstheme="majorHAnsi"/>
          <w:b w:val="0"/>
          <w:bCs w:val="0"/>
          <w:bdr w:val="none" w:sz="0" w:space="0" w:color="auto" w:frame="1"/>
        </w:rPr>
        <w:t xml:space="preserve">Amennyiben egy szervezet meghozta azt a döntést, hogy létrehoz egy önkéntes programot, vannak bizonyos lépések a stratégiaalkotás és az önkéntes menedzsment modell </w:t>
      </w:r>
      <w:proofErr w:type="spellStart"/>
      <w:r w:rsidRPr="00245104">
        <w:rPr>
          <w:rStyle w:val="Kiemels2"/>
          <w:rFonts w:asciiTheme="majorHAnsi" w:hAnsiTheme="majorHAnsi" w:cstheme="majorHAnsi"/>
          <w:b w:val="0"/>
          <w:bCs w:val="0"/>
          <w:bdr w:val="none" w:sz="0" w:space="0" w:color="auto" w:frame="1"/>
        </w:rPr>
        <w:t>végiggondolása</w:t>
      </w:r>
      <w:proofErr w:type="spellEnd"/>
      <w:r w:rsidRPr="00245104">
        <w:rPr>
          <w:rStyle w:val="Kiemels2"/>
          <w:rFonts w:asciiTheme="majorHAnsi" w:hAnsiTheme="majorHAnsi" w:cstheme="majorHAnsi"/>
          <w:b w:val="0"/>
          <w:bCs w:val="0"/>
          <w:bdr w:val="none" w:sz="0" w:space="0" w:color="auto" w:frame="1"/>
        </w:rPr>
        <w:t xml:space="preserve"> mellett, amelyeket szükséges megtenni:</w:t>
      </w:r>
    </w:p>
    <w:p w14:paraId="647282F3" w14:textId="77777777" w:rsidR="00245104" w:rsidRDefault="00245104" w:rsidP="001207A7">
      <w:pPr>
        <w:widowControl/>
        <w:numPr>
          <w:ilvl w:val="0"/>
          <w:numId w:val="2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 xml:space="preserve">Érdemes bejelentkezni a Köt (a évi LXXXVIII. törvény a közérdekű önkéntes tevékenységről) hatálya alá, mint önkénteseket fogadó szervezet, amennyiben annak hatálya alatt kíván az intézmény önkénteseket fogadni. </w:t>
      </w:r>
    </w:p>
    <w:p w14:paraId="6B3E619C" w14:textId="33330816" w:rsidR="00245104" w:rsidRPr="00245104" w:rsidRDefault="00245104" w:rsidP="001207A7">
      <w:pPr>
        <w:widowControl/>
        <w:numPr>
          <w:ilvl w:val="0"/>
          <w:numId w:val="2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Pr="00245104">
        <w:rPr>
          <w:rFonts w:asciiTheme="majorHAnsi" w:hAnsiTheme="majorHAnsi" w:cstheme="majorHAnsi"/>
          <w:sz w:val="24"/>
          <w:szCs w:val="24"/>
        </w:rPr>
        <w:t>öntés a koordinátor személyéről, pozíciójáról, munkaidejéről önkéntes tevékenységek átgondolása.</w:t>
      </w:r>
    </w:p>
    <w:p w14:paraId="53337DBB" w14:textId="77777777" w:rsidR="00245104" w:rsidRPr="00245104" w:rsidRDefault="00245104" w:rsidP="00245104">
      <w:pPr>
        <w:pStyle w:val="Cmsor2"/>
        <w:shd w:val="clear" w:color="auto" w:fill="FFFFFF"/>
        <w:textAlignment w:val="baseline"/>
        <w:rPr>
          <w:rFonts w:asciiTheme="majorHAnsi" w:hAnsiTheme="majorHAnsi" w:cstheme="majorHAnsi"/>
          <w:b w:val="0"/>
          <w:i/>
          <w:iCs/>
          <w:sz w:val="24"/>
          <w:szCs w:val="24"/>
        </w:rPr>
      </w:pPr>
      <w:bookmarkStart w:id="1" w:name="target-toc-0"/>
      <w:bookmarkEnd w:id="1"/>
      <w:r w:rsidRPr="00245104">
        <w:rPr>
          <w:rFonts w:asciiTheme="majorHAnsi" w:hAnsiTheme="majorHAnsi" w:cstheme="majorHAnsi"/>
          <w:b w:val="0"/>
          <w:i/>
          <w:iCs/>
          <w:sz w:val="24"/>
          <w:szCs w:val="24"/>
        </w:rPr>
        <w:t>Regisztráció önkéntesfogadó szervezetként és szerződéskötés</w:t>
      </w:r>
    </w:p>
    <w:p w14:paraId="796B43AD" w14:textId="2D4238E6" w:rsidR="00245104" w:rsidRPr="00245104" w:rsidRDefault="00245104" w:rsidP="00245104">
      <w:pPr>
        <w:pStyle w:val="NormlWeb"/>
        <w:shd w:val="clear" w:color="auto" w:fill="FFFFFF"/>
        <w:spacing w:before="0" w:after="0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>Az önkénteseket fogadó szervezetként való bejelentésről legpontosabb megfogalmazásban az Önkéntes Központ Alapítvány weboldalán található információ. Ezen információk közül az alábbiakat emeljük itt most ki. </w:t>
      </w:r>
      <w:r w:rsidRPr="00245104">
        <w:rPr>
          <w:rFonts w:asciiTheme="majorHAnsi" w:hAnsiTheme="majorHAnsi" w:cstheme="majorHAnsi"/>
        </w:rPr>
        <w:t xml:space="preserve"> </w:t>
      </w:r>
    </w:p>
    <w:p w14:paraId="23102E66" w14:textId="77777777" w:rsidR="00245104" w:rsidRPr="00245104" w:rsidRDefault="00245104" w:rsidP="00245104">
      <w:pPr>
        <w:pStyle w:val="NormlWeb"/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>…a törvényben meghatározott juttatásokat a fogadó szervezet csak akkor nyújthatja járulékmentesen – az önkéntes számára pedig adómentes módon –, ha bejelentkezik a törvény hatálya alá, vagyis a közérdekű önkénteseket fogadó szervezetek  nyilvántartásába</w:t>
      </w:r>
    </w:p>
    <w:p w14:paraId="3ED0BDEC" w14:textId="3405DC11" w:rsidR="00245104" w:rsidRPr="00245104" w:rsidRDefault="00245104" w:rsidP="00245104">
      <w:pPr>
        <w:pStyle w:val="NormlWeb"/>
        <w:shd w:val="clear" w:color="auto" w:fill="FFFFFF"/>
        <w:spacing w:before="0" w:after="0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>A közérdekű önkéntes foglalkoztatása révén járó kedvezmények igénybe vételéhez a fogadó szervezetnek be kell jelentkeznie</w:t>
      </w:r>
      <w:r>
        <w:rPr>
          <w:rFonts w:asciiTheme="majorHAnsi" w:hAnsiTheme="majorHAnsi" w:cstheme="majorHAnsi"/>
        </w:rPr>
        <w:t xml:space="preserve"> az illetékes minisztériumnál</w:t>
      </w:r>
      <w:r w:rsidRPr="00245104">
        <w:rPr>
          <w:rFonts w:asciiTheme="majorHAnsi" w:hAnsiTheme="majorHAnsi" w:cstheme="majorHAnsi"/>
        </w:rPr>
        <w:t>. Ennek első lépése a bejelentési lap kitöltése</w:t>
      </w:r>
      <w:r>
        <w:rPr>
          <w:rFonts w:asciiTheme="majorHAnsi" w:hAnsiTheme="majorHAnsi" w:cstheme="majorHAnsi"/>
        </w:rPr>
        <w:t>.</w:t>
      </w:r>
    </w:p>
    <w:p w14:paraId="6912C96B" w14:textId="77777777" w:rsidR="00245104" w:rsidRPr="00245104" w:rsidRDefault="00245104" w:rsidP="00245104">
      <w:pPr>
        <w:pStyle w:val="NormlWeb"/>
        <w:shd w:val="clear" w:color="auto" w:fill="FFFFFF"/>
        <w:spacing w:before="0" w:after="0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>A bejelentkezési laphoz csatolandó </w:t>
      </w:r>
      <w:r w:rsidRPr="00245104">
        <w:rPr>
          <w:rStyle w:val="Kiemels2"/>
          <w:rFonts w:asciiTheme="majorHAnsi" w:hAnsiTheme="majorHAnsi" w:cstheme="majorHAnsi"/>
          <w:b w:val="0"/>
          <w:bCs w:val="0"/>
          <w:bdr w:val="none" w:sz="0" w:space="0" w:color="auto" w:frame="1"/>
        </w:rPr>
        <w:t>kötelező</w:t>
      </w:r>
      <w:r w:rsidRPr="00245104">
        <w:rPr>
          <w:rFonts w:asciiTheme="majorHAnsi" w:hAnsiTheme="majorHAnsi" w:cstheme="majorHAnsi"/>
        </w:rPr>
        <w:t> </w:t>
      </w:r>
      <w:r w:rsidRPr="00245104">
        <w:rPr>
          <w:rStyle w:val="Kiemels2"/>
          <w:rFonts w:asciiTheme="majorHAnsi" w:hAnsiTheme="majorHAnsi" w:cstheme="majorHAnsi"/>
          <w:b w:val="0"/>
          <w:bCs w:val="0"/>
          <w:bdr w:val="none" w:sz="0" w:space="0" w:color="auto" w:frame="1"/>
        </w:rPr>
        <w:t>mellékletek</w:t>
      </w:r>
      <w:r w:rsidRPr="00245104">
        <w:rPr>
          <w:rFonts w:asciiTheme="majorHAnsi" w:hAnsiTheme="majorHAnsi" w:cstheme="majorHAnsi"/>
        </w:rPr>
        <w:t> felsorolását a KÖT 11. §-a tartalmazza.</w:t>
      </w:r>
    </w:p>
    <w:p w14:paraId="10C6010A" w14:textId="77777777" w:rsidR="00245104" w:rsidRPr="00245104" w:rsidRDefault="00245104" w:rsidP="00245104">
      <w:pPr>
        <w:pStyle w:val="NormlWeb"/>
        <w:shd w:val="clear" w:color="auto" w:fill="FFFFFF"/>
        <w:spacing w:before="0" w:after="0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Style w:val="Kiemels2"/>
          <w:rFonts w:asciiTheme="majorHAnsi" w:hAnsiTheme="majorHAnsi" w:cstheme="majorHAnsi"/>
          <w:b w:val="0"/>
          <w:bCs w:val="0"/>
          <w:bdr w:val="none" w:sz="0" w:space="0" w:color="auto" w:frame="1"/>
        </w:rPr>
        <w:t>Ezek a következők:</w:t>
      </w:r>
    </w:p>
    <w:p w14:paraId="17229714" w14:textId="77777777" w:rsidR="00245104" w:rsidRPr="00245104" w:rsidRDefault="00245104" w:rsidP="00245104">
      <w:pPr>
        <w:pStyle w:val="NormlWeb"/>
        <w:shd w:val="clear" w:color="auto" w:fill="FFFFFF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> </w:t>
      </w:r>
    </w:p>
    <w:p w14:paraId="250AA7D2" w14:textId="77777777" w:rsidR="00245104" w:rsidRPr="00245104" w:rsidRDefault="00245104" w:rsidP="00245104">
      <w:pPr>
        <w:widowControl/>
        <w:numPr>
          <w:ilvl w:val="0"/>
          <w:numId w:val="3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>Helyi önkormányzatok társulása esetén a társulási megállapodás másolata,</w:t>
      </w:r>
    </w:p>
    <w:p w14:paraId="24D4D6B1" w14:textId="77777777" w:rsidR="00245104" w:rsidRPr="00245104" w:rsidRDefault="00245104" w:rsidP="00245104">
      <w:pPr>
        <w:widowControl/>
        <w:numPr>
          <w:ilvl w:val="0"/>
          <w:numId w:val="3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lastRenderedPageBreak/>
        <w:t>Civil szervezet esetében a hatályos létesítő okirat másolata, a nyilvántartásba vétel 30 napnál nem régebbi igazolása, amelyet az illetékes bíróság állít ki,</w:t>
      </w:r>
    </w:p>
    <w:p w14:paraId="143D0F02" w14:textId="77777777" w:rsidR="00245104" w:rsidRPr="00245104" w:rsidRDefault="00245104" w:rsidP="00245104">
      <w:pPr>
        <w:widowControl/>
        <w:numPr>
          <w:ilvl w:val="0"/>
          <w:numId w:val="3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>Egyházi jogi személy esetén a nyilvántartásba vétel igazolása az egyházi jogi személy adatairól, amelyet az illetékes bíróság állít Ha a fogadó szervezet egyházi jogi személy szervezeti egysége, akkor mellékelni kell az egyházi jogi személy erre vonatkozó nyilatkozatát,</w:t>
      </w:r>
    </w:p>
    <w:p w14:paraId="065E3D3B" w14:textId="29C73BA1" w:rsidR="00245104" w:rsidRPr="00245104" w:rsidRDefault="00245104" w:rsidP="00245104">
      <w:pPr>
        <w:widowControl/>
        <w:numPr>
          <w:ilvl w:val="0"/>
          <w:numId w:val="3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>Intézmény, illetve annak fenntartója esetén a bejelentéshez mellékelni kell annak igazolását, hogy az intézmény jogszerűen működik. Ha az intézmény fenntartója társadalmi szervezet, alapítvány, közalapítvány, egyházi jogi személy, közhasznú vagy gazdasági társaság, mellékelni kell a szervezet adatairól szóló, 30 napnál nem régebbi bírósági igazolást. Ha az intézmény fenntartója egyéni vállalkozó, akkor kötelező a vállalkozói engedély másolatát melléke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245104">
        <w:rPr>
          <w:rFonts w:asciiTheme="majorHAnsi" w:hAnsiTheme="majorHAnsi" w:cstheme="majorHAnsi"/>
        </w:rPr>
        <w:br/>
      </w:r>
    </w:p>
    <w:p w14:paraId="7BDA813A" w14:textId="77777777" w:rsidR="00245104" w:rsidRPr="00245104" w:rsidRDefault="00245104" w:rsidP="00245104">
      <w:pPr>
        <w:pStyle w:val="NormlWeb"/>
        <w:shd w:val="clear" w:color="auto" w:fill="FFFFFF"/>
        <w:spacing w:before="0" w:after="0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>Regisztrált önkéntesfogadó szervezetként a következő lépés az </w:t>
      </w:r>
      <w:r w:rsidRPr="00245104">
        <w:rPr>
          <w:rFonts w:asciiTheme="majorHAnsi" w:hAnsiTheme="majorHAnsi" w:cstheme="majorHAnsi"/>
          <w:i/>
          <w:iCs/>
          <w:bdr w:val="none" w:sz="0" w:space="0" w:color="auto" w:frame="1"/>
        </w:rPr>
        <w:t>önkéntes szerződés</w:t>
      </w:r>
      <w:r w:rsidRPr="00245104">
        <w:rPr>
          <w:rFonts w:asciiTheme="majorHAnsi" w:hAnsiTheme="majorHAnsi" w:cstheme="majorHAnsi"/>
        </w:rPr>
        <w:t> elkészítése.</w:t>
      </w:r>
    </w:p>
    <w:p w14:paraId="089C9A91" w14:textId="77777777" w:rsidR="00245104" w:rsidRPr="00245104" w:rsidRDefault="00245104" w:rsidP="00245104">
      <w:pPr>
        <w:pStyle w:val="Cmsor3"/>
        <w:shd w:val="clear" w:color="auto" w:fill="FFFFFF"/>
        <w:jc w:val="both"/>
        <w:textAlignment w:val="baseline"/>
        <w:rPr>
          <w:rFonts w:asciiTheme="majorHAnsi" w:hAnsiTheme="majorHAnsi" w:cstheme="majorHAnsi"/>
          <w:b w:val="0"/>
          <w:i/>
          <w:iCs/>
          <w:sz w:val="24"/>
          <w:szCs w:val="24"/>
        </w:rPr>
      </w:pPr>
      <w:bookmarkStart w:id="2" w:name="target-toc-1"/>
      <w:bookmarkEnd w:id="2"/>
      <w:r w:rsidRPr="00245104">
        <w:rPr>
          <w:rFonts w:asciiTheme="majorHAnsi" w:hAnsiTheme="majorHAnsi" w:cstheme="majorHAnsi"/>
          <w:b w:val="0"/>
          <w:i/>
          <w:iCs/>
          <w:sz w:val="24"/>
          <w:szCs w:val="24"/>
        </w:rPr>
        <w:t>Szükséges-e önkéntes koordinátor?</w:t>
      </w:r>
    </w:p>
    <w:p w14:paraId="7AE24FF7" w14:textId="77777777" w:rsidR="00245104" w:rsidRPr="00245104" w:rsidRDefault="00245104" w:rsidP="00245104">
      <w:pPr>
        <w:pStyle w:val="NormlWeb"/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>Intézményünkben – ha a lehetőség adott – feltétlenül alkalmazzunk önkéntes-koordinátort, még akkor is, ha nem lehetséges vagy szükséges az, hogy teljes munkaidőben végezze tevékenységét. Fő feladata az önkéntes beilleszkedésének támogatása (tájékozódás, képzés, motiváció fenntartása, ellenőrzés, értékelés) és a munkatársak tájékoztatása az önkéntes tevékenységéről. Megismerteti az önkénteseket az intézményen belüli viszonyokkal, szabályokkal, munkavégzésük feltételeivel, a munkatársak közötti kommunikáció lehetőségeivel, információkat ad az anyag- és eszközhasználattal kapcsolatban. Eligazít, hogy kitől miben kérhet az önkéntes segítséget. Felméri az önkéntes kompetenciáit, gondoskodik esetleges képzéséről. Betekintést nyújt a szervezet alapvető normáiba, megismeri az önkéntes elvárásait is, igyekszik a kettőt összhangba hozni. Az önkéntesek munkáját figyelemmel kíséri, s ha szükséges, beavatkozik a munkafolyamatokba.</w:t>
      </w:r>
    </w:p>
    <w:p w14:paraId="5722A5C6" w14:textId="77777777" w:rsidR="00245104" w:rsidRPr="00245104" w:rsidRDefault="00245104" w:rsidP="00245104">
      <w:pPr>
        <w:pStyle w:val="NormlWeb"/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 xml:space="preserve">Önkéntes koordinátorunk híd az önkéntes és az intézmény munkatársai, az önkéntes és az intézményi vezetés között. Ő tájékoztatja felsőbb vezetőit az önkéntes tevékenységről, felelős a beszámolók elkészítéséért, az adminisztráció felügyelője, napi és </w:t>
      </w:r>
      <w:proofErr w:type="spellStart"/>
      <w:r w:rsidRPr="00245104">
        <w:rPr>
          <w:rFonts w:asciiTheme="majorHAnsi" w:hAnsiTheme="majorHAnsi" w:cstheme="majorHAnsi"/>
        </w:rPr>
        <w:t>időközönkénti</w:t>
      </w:r>
      <w:proofErr w:type="spellEnd"/>
      <w:r w:rsidRPr="00245104">
        <w:rPr>
          <w:rFonts w:asciiTheme="majorHAnsi" w:hAnsiTheme="majorHAnsi" w:cstheme="majorHAnsi"/>
        </w:rPr>
        <w:t xml:space="preserve"> statisztikák készítője. Az intézmény fenntartója az adott intézmény önkéntes munkájáról az igazgató által összefogott, év végén elkészített éves beszámolókból, illetve az év elején elkészülő éves munkatervekből  tájékozódik.</w:t>
      </w:r>
    </w:p>
    <w:p w14:paraId="673E7E42" w14:textId="77777777" w:rsidR="00245104" w:rsidRPr="00245104" w:rsidRDefault="00245104" w:rsidP="00245104">
      <w:pPr>
        <w:pStyle w:val="NormlWeb"/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 xml:space="preserve">Fontos kiemelni, hogy az önkéntes koordinátor a szervezeten belül, az önkéntesek képviseletében, számos területtel aktív kapcsolatot tart fenn. Az önkéntes tevékenységtől függően a megfelelő szakmai </w:t>
      </w:r>
      <w:r w:rsidRPr="00245104">
        <w:rPr>
          <w:rFonts w:asciiTheme="majorHAnsi" w:hAnsiTheme="majorHAnsi" w:cstheme="majorHAnsi"/>
        </w:rPr>
        <w:lastRenderedPageBreak/>
        <w:t>egységekkel valamint a szervezet frontszemélyzeti munkáját ellátó osztályokkal is, amennyiben a feladatok hatékony ellátása ezt igényli. Az önkéntes tevékenységtől függetlenül a jogász munkatárssal (vagy jogi osztállyal), a munkaügyes kollégával (ideális esetben a HR osztállyal), a gazdasági munkatárssal (vagy gazdasági osztállyal), az igazgatóval (vagy felsővezetéssel), illetve a biztonsági osztállyal szükséges a rendszeres kapcsolat kialakítása és fenntartása.</w:t>
      </w:r>
    </w:p>
    <w:p w14:paraId="637EA84E" w14:textId="77777777" w:rsidR="00245104" w:rsidRPr="00245104" w:rsidRDefault="00245104" w:rsidP="00245104">
      <w:pPr>
        <w:pStyle w:val="NormlWeb"/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>Itt is megerősítjük, hogy a vezetői értekezleteken, munkatársi gyűléseken az önkéntes koordinátornak egyértelműen helye kell, hogy legyen, hiszen így kap rálátást a szervezet működésének egészére, és így lesz képes az önkéntes tevékenységek skáláját meghatározni, azt szükség esetén bővíteni.</w:t>
      </w:r>
    </w:p>
    <w:p w14:paraId="0D0B9B9F" w14:textId="77777777" w:rsidR="00245104" w:rsidRPr="00245104" w:rsidRDefault="00245104" w:rsidP="00245104">
      <w:pPr>
        <w:pStyle w:val="NormlWeb"/>
        <w:shd w:val="clear" w:color="auto" w:fill="FFFFFF"/>
        <w:spacing w:before="0" w:after="0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Style w:val="Kiemels2"/>
          <w:rFonts w:asciiTheme="majorHAnsi" w:hAnsiTheme="majorHAnsi" w:cstheme="majorHAnsi"/>
          <w:b w:val="0"/>
          <w:bCs w:val="0"/>
          <w:bdr w:val="none" w:sz="0" w:space="0" w:color="auto" w:frame="1"/>
        </w:rPr>
        <w:t>A „legyen vagy ne legyen önkéntes” alapkérdés eldöntésében az alábbi szempontok is segíthetnek. Az önkéntesek koordinálására fordított időt, energiát, a program működtetéséhez szükséges, munkabérben is kifejezhető erőforrást az alábbiak szerint, kétféleképpen közelíthetjük meg.</w:t>
      </w:r>
    </w:p>
    <w:p w14:paraId="115DC9BA" w14:textId="77777777" w:rsidR="00245104" w:rsidRPr="00245104" w:rsidRDefault="00245104" w:rsidP="00245104">
      <w:pPr>
        <w:widowControl/>
        <w:numPr>
          <w:ilvl w:val="0"/>
          <w:numId w:val="4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 xml:space="preserve">A szervezet célja a költséghatékonyság növelése, azaz, hogy minél kevesebb költségvetéssel, minél hatékonyabban </w:t>
      </w:r>
      <w:proofErr w:type="spellStart"/>
      <w:r w:rsidRPr="00245104">
        <w:rPr>
          <w:rFonts w:asciiTheme="majorHAnsi" w:hAnsiTheme="majorHAnsi" w:cstheme="majorHAnsi"/>
          <w:sz w:val="24"/>
          <w:szCs w:val="24"/>
        </w:rPr>
        <w:t>működjön</w:t>
      </w:r>
      <w:proofErr w:type="spellEnd"/>
      <w:r w:rsidRPr="00245104">
        <w:rPr>
          <w:rFonts w:asciiTheme="majorHAnsi" w:hAnsiTheme="majorHAnsi" w:cstheme="majorHAnsi"/>
          <w:sz w:val="24"/>
          <w:szCs w:val="24"/>
        </w:rPr>
        <w:t>. Ennek vannak természetes határai és vannak átváltási pontok is a különféle eszközökbe vagy jól képzett munkaerőbe való befektetések esetén, amikor egy egyszeri költség a jövőben költségcsökkentést idéz elő (pl. az írógépről a számítógépre való váltásnál a munkaidő jelentős része felszabadulhatott a gyorsabb munkavégzés miatt). Ilyen az is, amikor egy befektetés bár állandó költséggel, egy önkéntes koordinátor alkalmazása folyamatos munkabérfizetési kötelezettséggel jár, – a feladatai során annyi extra munkaerőt tud koordinálni, ami munkaórában kifejezve több fizetett munkatárs ledolgozott órájával lehet egyenértékű. Itt az a kérdés, hogy a szervezet hajlandó-e (akár a rendelkezésére álló költségvetési keret átcsoportosításával) önkéntes koordinátor pozícióra áldozni, melyet erősen javaslunk.</w:t>
      </w:r>
    </w:p>
    <w:p w14:paraId="5610A96E" w14:textId="77777777" w:rsidR="00245104" w:rsidRPr="00245104" w:rsidRDefault="00245104" w:rsidP="00245104">
      <w:pPr>
        <w:widowControl/>
        <w:numPr>
          <w:ilvl w:val="0"/>
          <w:numId w:val="4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>Amennyiben az előző kérdésre igen a válasz, szükséges arról dönteni, hogy hány órában alkalmazunk önkéntes koordinátort. </w:t>
      </w:r>
      <w:r w:rsidRPr="00245104">
        <w:rPr>
          <w:rStyle w:val="Kiemels2"/>
          <w:rFonts w:asciiTheme="majorHAnsi" w:hAnsiTheme="majorHAnsi" w:cstheme="majorHAnsi"/>
          <w:b w:val="0"/>
          <w:bCs w:val="0"/>
          <w:sz w:val="24"/>
          <w:szCs w:val="24"/>
          <w:bdr w:val="none" w:sz="0" w:space="0" w:color="auto" w:frame="1"/>
        </w:rPr>
        <w:t>Szervezetek tapasztalatai alapján, attól függően, hogy milyen tevékenységet végeznek az önkéntesek, továbbá, hogy rendszeres-e ez a tevékenység és mennyire nagy munkaerő-intenzitású a képzésük és folyamatos, naprakész tájékoztatásuk, ökölszámként az alábbi kapaszkodót ajánljuk természetesen azzal, hogy számos tényező alakíthatja, árnyalhatja még a képet:</w:t>
      </w:r>
    </w:p>
    <w:p w14:paraId="5840B807" w14:textId="77777777" w:rsidR="00245104" w:rsidRPr="00245104" w:rsidRDefault="00245104" w:rsidP="00245104">
      <w:pPr>
        <w:widowControl/>
        <w:numPr>
          <w:ilvl w:val="0"/>
          <w:numId w:val="5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>0-10 fő önkéntes foglalkoztatása általában heti 10 óra munkánál többet nem szokott jelent.</w:t>
      </w:r>
    </w:p>
    <w:p w14:paraId="45E0C0EE" w14:textId="77777777" w:rsidR="00245104" w:rsidRPr="00245104" w:rsidRDefault="00245104" w:rsidP="00245104">
      <w:pPr>
        <w:widowControl/>
        <w:numPr>
          <w:ilvl w:val="0"/>
          <w:numId w:val="5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>10-30 fő önkéntes foglalkoztatása esetén már könnyen előfordulhat, hogy az önkéntesekkel való folyamatos kapcsolattartás és az önkéntes koordinátori teendők kitesznek egy félállást.</w:t>
      </w:r>
    </w:p>
    <w:p w14:paraId="5A5642E0" w14:textId="77777777" w:rsidR="00245104" w:rsidRPr="00245104" w:rsidRDefault="00245104" w:rsidP="00245104">
      <w:pPr>
        <w:widowControl/>
        <w:numPr>
          <w:ilvl w:val="0"/>
          <w:numId w:val="5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>30-50 fő esetén biztosan szükség van a program színvonalas működtetéséhez legalább félállású önkéntes koordinátorra.</w:t>
      </w:r>
    </w:p>
    <w:p w14:paraId="3A50721A" w14:textId="77777777" w:rsidR="00245104" w:rsidRPr="00245104" w:rsidRDefault="00245104" w:rsidP="00245104">
      <w:pPr>
        <w:widowControl/>
        <w:numPr>
          <w:ilvl w:val="0"/>
          <w:numId w:val="5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lastRenderedPageBreak/>
        <w:t>50-80 fő koordinálása már nagyon nagy elfoglaltságot jelent, könnyen előfordulhat, hogy egy munkatárs teljes munkaidejét kitölti a kapcsolódó feladatok ellátása.</w:t>
      </w:r>
    </w:p>
    <w:p w14:paraId="3B362A69" w14:textId="77777777" w:rsidR="00245104" w:rsidRPr="00245104" w:rsidRDefault="00245104" w:rsidP="00245104">
      <w:pPr>
        <w:widowControl/>
        <w:numPr>
          <w:ilvl w:val="0"/>
          <w:numId w:val="5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>80 fő fölött mindenképpen szükséges egy teljes állású önkéntes koordinátor alkalmazása.</w:t>
      </w:r>
    </w:p>
    <w:p w14:paraId="2805C541" w14:textId="77777777" w:rsidR="00245104" w:rsidRPr="00245104" w:rsidRDefault="00245104" w:rsidP="00245104">
      <w:pPr>
        <w:widowControl/>
        <w:numPr>
          <w:ilvl w:val="0"/>
          <w:numId w:val="5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>80-100 fő közé eső programban nagy valószínűséggel szüksége lehet a teljes állású koordinátornak kiegészítő segítségre, asszisztenciára.</w:t>
      </w:r>
    </w:p>
    <w:p w14:paraId="006D108E" w14:textId="77777777" w:rsidR="00245104" w:rsidRPr="00245104" w:rsidRDefault="00245104" w:rsidP="00245104">
      <w:pPr>
        <w:widowControl/>
        <w:numPr>
          <w:ilvl w:val="0"/>
          <w:numId w:val="5"/>
        </w:numPr>
        <w:shd w:val="clear" w:color="auto" w:fill="FFFFFF"/>
        <w:ind w:left="114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245104">
        <w:rPr>
          <w:rFonts w:asciiTheme="majorHAnsi" w:hAnsiTheme="majorHAnsi" w:cstheme="majorHAnsi"/>
          <w:sz w:val="24"/>
          <w:szCs w:val="24"/>
        </w:rPr>
        <w:t>100 fő fölötti, rendszeres önkéntes tevékenységeket felölelő önkéntes program esetében mindenképpen szükséges legalább két, a témában jártas koordinátor.</w:t>
      </w:r>
    </w:p>
    <w:p w14:paraId="7320C511" w14:textId="77777777" w:rsidR="00245104" w:rsidRPr="00245104" w:rsidRDefault="00245104" w:rsidP="00245104">
      <w:pPr>
        <w:pStyle w:val="NormlWeb"/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 xml:space="preserve">Kislétszámú intézmények esetében a pozíció nehezen létrehozható, nehezen megfizethető. Új program indítása esetén mindenképpen javasoljuk a lassú építkezést. Azaz az önkéntes fogadásának első lépése valószínűleg nem az önkéntes koordinátori pozíció létrehozása lesz, ugyanakkor nagyon fontos komolyan venni a koordinátor esetleges túlterheltségéről szóló jelzéseket. Gondoljunk bele, egy egész (vagy maroknyi) hadsereget irányít </w:t>
      </w:r>
      <w:proofErr w:type="spellStart"/>
      <w:r w:rsidRPr="00245104">
        <w:rPr>
          <w:rFonts w:asciiTheme="majorHAnsi" w:hAnsiTheme="majorHAnsi" w:cstheme="majorHAnsi"/>
        </w:rPr>
        <w:t>esetenként</w:t>
      </w:r>
      <w:proofErr w:type="spellEnd"/>
      <w:r w:rsidRPr="00245104">
        <w:rPr>
          <w:rFonts w:asciiTheme="majorHAnsi" w:hAnsiTheme="majorHAnsi" w:cstheme="majorHAnsi"/>
        </w:rPr>
        <w:t>.</w:t>
      </w:r>
    </w:p>
    <w:p w14:paraId="4B3500D5" w14:textId="77777777" w:rsidR="00245104" w:rsidRPr="00245104" w:rsidRDefault="00245104" w:rsidP="00245104">
      <w:pPr>
        <w:pStyle w:val="NormlWeb"/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>Ha analogikusan gondolkodunk, hány százfős cég várja el egyetlen vezetőtől, hogy mindent összefogjon?</w:t>
      </w:r>
    </w:p>
    <w:p w14:paraId="4B6DC0B9" w14:textId="77777777" w:rsidR="00245104" w:rsidRPr="00245104" w:rsidRDefault="00245104" w:rsidP="00245104">
      <w:pPr>
        <w:pStyle w:val="NormlWeb"/>
        <w:shd w:val="clear" w:color="auto" w:fill="FFFFFF"/>
        <w:jc w:val="both"/>
        <w:textAlignment w:val="baseline"/>
        <w:rPr>
          <w:rFonts w:asciiTheme="majorHAnsi" w:hAnsiTheme="majorHAnsi" w:cstheme="majorHAnsi"/>
        </w:rPr>
      </w:pPr>
      <w:r w:rsidRPr="00245104">
        <w:rPr>
          <w:rFonts w:asciiTheme="majorHAnsi" w:hAnsiTheme="majorHAnsi" w:cstheme="majorHAnsi"/>
        </w:rPr>
        <w:t>Az önkéntes koordinátor alkalmazás elterjedését gátolja, hogy annak még nincs meg helye a szakmai regiszterben. Ennek következtében sok esetben nehéz a koordinátor pozíciójának finanszírozási forrását előteremteni, de számos példa van arra, hogy intézményvezetők és fenntartók, a program mérete miatt és a munka volumenének ismeretében, megtalálták a megoldást a szükséges forrás előteremtésére.</w:t>
      </w:r>
    </w:p>
    <w:p w14:paraId="39D6FBEA" w14:textId="77777777" w:rsidR="00245104" w:rsidRPr="00245104" w:rsidRDefault="00245104">
      <w:pPr>
        <w:rPr>
          <w:rFonts w:asciiTheme="majorHAnsi" w:hAnsiTheme="majorHAnsi" w:cstheme="majorHAnsi"/>
          <w:sz w:val="24"/>
          <w:szCs w:val="24"/>
        </w:rPr>
      </w:pPr>
    </w:p>
    <w:p w14:paraId="49BD803F" w14:textId="77777777" w:rsidR="00A201A0" w:rsidRPr="00245104" w:rsidRDefault="00A201A0">
      <w:pPr>
        <w:widowControl/>
        <w:jc w:val="center"/>
        <w:rPr>
          <w:rFonts w:asciiTheme="majorHAnsi" w:eastAsia="Calibri" w:hAnsiTheme="majorHAnsi" w:cstheme="majorHAnsi"/>
          <w:sz w:val="24"/>
          <w:szCs w:val="24"/>
        </w:rPr>
      </w:pPr>
    </w:p>
    <w:sectPr w:rsidR="00A201A0" w:rsidRPr="00245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DFBC" w14:textId="77777777" w:rsidR="0069018A" w:rsidRDefault="0069018A">
      <w:r>
        <w:separator/>
      </w:r>
    </w:p>
  </w:endnote>
  <w:endnote w:type="continuationSeparator" w:id="0">
    <w:p w14:paraId="668C5562" w14:textId="77777777" w:rsidR="0069018A" w:rsidRDefault="0069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4FBB" w14:textId="77777777" w:rsidR="0069018A" w:rsidRDefault="0069018A">
      <w:r>
        <w:separator/>
      </w:r>
    </w:p>
  </w:footnote>
  <w:footnote w:type="continuationSeparator" w:id="0">
    <w:p w14:paraId="4CC1A092" w14:textId="77777777" w:rsidR="0069018A" w:rsidRDefault="0069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CB3"/>
    <w:multiLevelType w:val="multilevel"/>
    <w:tmpl w:val="F34A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12E32"/>
    <w:multiLevelType w:val="multilevel"/>
    <w:tmpl w:val="E42C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27D96"/>
    <w:multiLevelType w:val="multilevel"/>
    <w:tmpl w:val="5A4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B724B4"/>
    <w:multiLevelType w:val="multilevel"/>
    <w:tmpl w:val="A7DA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B371B"/>
    <w:multiLevelType w:val="multilevel"/>
    <w:tmpl w:val="893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3882468">
    <w:abstractNumId w:val="2"/>
  </w:num>
  <w:num w:numId="2" w16cid:durableId="2024428696">
    <w:abstractNumId w:val="4"/>
  </w:num>
  <w:num w:numId="3" w16cid:durableId="451442437">
    <w:abstractNumId w:val="1"/>
  </w:num>
  <w:num w:numId="4" w16cid:durableId="1415979641">
    <w:abstractNumId w:val="3"/>
  </w:num>
  <w:num w:numId="5" w16cid:durableId="7104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245104"/>
    <w:rsid w:val="005333CA"/>
    <w:rsid w:val="0057510D"/>
    <w:rsid w:val="00654AE0"/>
    <w:rsid w:val="0069018A"/>
    <w:rsid w:val="00A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paragraph" w:styleId="NormlWeb">
    <w:name w:val="Normal (Web)"/>
    <w:basedOn w:val="Norml"/>
    <w:uiPriority w:val="99"/>
    <w:semiHidden/>
    <w:unhideWhenUsed/>
    <w:rsid w:val="00245104"/>
    <w:pPr>
      <w:widowControl/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245104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45104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245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2022-11-05T07:47:00Z</dcterms:modified>
</cp:coreProperties>
</file>